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2F" w:rsidRDefault="006D332F" w:rsidP="006D332F">
      <w:pPr>
        <w:pStyle w:val="1"/>
      </w:pPr>
      <w:r>
        <w:t>(91-59-8)β-萘胺的理化及危险特性表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710"/>
        <w:gridCol w:w="2625"/>
        <w:gridCol w:w="2346"/>
      </w:tblGrid>
      <w:tr w:rsidR="006D332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中文名：β-萘胺；β-氨基萘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 β-naphthylamine ；β-aminonaphthalene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9</w:t>
            </w:r>
            <w:r>
              <w:rPr>
                <w:rFonts w:ascii="宋体" w:hAnsi="宋体" w:hint="eastAsia"/>
                <w:szCs w:val="18"/>
              </w:rPr>
              <w:t>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分子量：143.18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UN编号：1650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61830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CAS号：91-59-8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外观与性状：白色到微粉红色片状，略有芳香气味。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：溶于热水、乙醇、乙醚、苯。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熔点（℃）：111.5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306.0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相对密度（水＝1）：1.06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:0.13（108.0℃）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燃烧热（kJ/mol）：5270.9</w:t>
            </w:r>
          </w:p>
        </w:tc>
      </w:tr>
      <w:tr w:rsidR="006D332F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 xml:space="preserve">避免接触的条件：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强氧化剂、酸类、酸酐。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危险特性: </w:t>
            </w:r>
            <w:r>
              <w:rPr>
                <w:rFonts w:ascii="宋体" w:hAnsi="宋体" w:hint="eastAsia"/>
                <w:szCs w:val="18"/>
              </w:rPr>
              <w:t>可燃。受高热分解放出有毒的气体。与氧化剂可发生反应。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灭火方法：采用雾状水、泡沫、二氧化碳、砂土灭火。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727mg/kg(大鼠经口) 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6D332F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本品有引起高铁血红蛋白血症的作用。中毒症状有紫绀、排尿困难。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工程控制：密闭操作，局部排风。提供安全淋浴和洗眼设备。    ※呼吸系统防护：空气中粉尘浓度超标时，应该佩戴自吸过滤式防尘口罩。紧急事态抢救或撤离时，建议佩戴空气呼吸器。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：戴化学安全防护眼镜。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※其它：工作现场禁止吸烟、进食和饮水。工作完毕，彻底清洗。单独存放被毒物污染的衣服，洗后备用。注意个人清洁卫生。 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6D332F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6D332F" w:rsidRDefault="006D332F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 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F"/>
    <w:rsid w:val="006D332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11AD2-EC41-4DD3-B0F5-E98922F2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D332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332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zyhq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